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附件一　付款排程表</w:t>
      </w:r>
    </w:p>
    <w:p>
      <w:r>
        <w:t>（隨 v3 廠商回傳版檢附，2026-05-23）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階段</w:t>
            </w:r>
          </w:p>
        </w:tc>
        <w:tc>
          <w:tcPr>
            <w:tcW w:type="dxa" w:w="2160"/>
          </w:tcPr>
          <w:p>
            <w:r>
              <w:t>付款條件</w:t>
            </w:r>
          </w:p>
        </w:tc>
        <w:tc>
          <w:tcPr>
            <w:tcW w:type="dxa" w:w="2160"/>
          </w:tcPr>
          <w:p>
            <w:r>
              <w:t>比例</w:t>
            </w:r>
          </w:p>
        </w:tc>
        <w:tc>
          <w:tcPr>
            <w:tcW w:type="dxa" w:w="2160"/>
          </w:tcPr>
          <w:p>
            <w:r>
              <w:t>金額（新臺幣）</w:t>
            </w:r>
          </w:p>
        </w:tc>
      </w:tr>
      <w:tr>
        <w:tc>
          <w:tcPr>
            <w:tcW w:type="dxa" w:w="2160"/>
          </w:tcPr>
          <w:p>
            <w:r>
              <w:t>第一期</w:t>
            </w:r>
          </w:p>
        </w:tc>
        <w:tc>
          <w:tcPr>
            <w:tcW w:type="dxa" w:w="2160"/>
          </w:tcPr>
          <w:p>
            <w:r>
              <w:t>簽約後十四日內</w:t>
            </w:r>
          </w:p>
        </w:tc>
        <w:tc>
          <w:tcPr>
            <w:tcW w:type="dxa" w:w="2160"/>
          </w:tcPr>
          <w:p>
            <w:r>
              <w:t>30%</w:t>
            </w:r>
          </w:p>
        </w:tc>
        <w:tc>
          <w:tcPr>
            <w:tcW w:type="dxa" w:w="2160"/>
          </w:tcPr>
          <w:p>
            <w:r>
              <w:t>720,000</w:t>
            </w:r>
          </w:p>
        </w:tc>
      </w:tr>
      <w:tr>
        <w:tc>
          <w:tcPr>
            <w:tcW w:type="dxa" w:w="2160"/>
          </w:tcPr>
          <w:p>
            <w:r>
              <w:t>第二期</w:t>
            </w:r>
          </w:p>
        </w:tc>
        <w:tc>
          <w:tcPr>
            <w:tcW w:type="dxa" w:w="2160"/>
          </w:tcPr>
          <w:p>
            <w:r>
              <w:t>系統交付並通過初驗後三十日內</w:t>
            </w:r>
          </w:p>
        </w:tc>
        <w:tc>
          <w:tcPr>
            <w:tcW w:type="dxa" w:w="2160"/>
          </w:tcPr>
          <w:p>
            <w:r>
              <w:t>40%</w:t>
            </w:r>
          </w:p>
        </w:tc>
        <w:tc>
          <w:tcPr>
            <w:tcW w:type="dxa" w:w="2160"/>
          </w:tcPr>
          <w:p>
            <w:r>
              <w:t>960,000</w:t>
            </w:r>
          </w:p>
        </w:tc>
      </w:tr>
      <w:tr>
        <w:tc>
          <w:tcPr>
            <w:tcW w:type="dxa" w:w="2160"/>
          </w:tcPr>
          <w:p>
            <w:r>
              <w:t>第三期</w:t>
            </w:r>
          </w:p>
        </w:tc>
        <w:tc>
          <w:tcPr>
            <w:tcW w:type="dxa" w:w="2160"/>
          </w:tcPr>
          <w:p>
            <w:r>
              <w:t>驗收合格後三十日內</w:t>
            </w:r>
          </w:p>
        </w:tc>
        <w:tc>
          <w:tcPr>
            <w:tcW w:type="dxa" w:w="2160"/>
          </w:tcPr>
          <w:p>
            <w:r>
              <w:t>30%</w:t>
            </w:r>
          </w:p>
        </w:tc>
        <w:tc>
          <w:tcPr>
            <w:tcW w:type="dxa" w:w="2160"/>
          </w:tcPr>
          <w:p>
            <w:r>
              <w:t>720,000</w:t>
            </w:r>
          </w:p>
        </w:tc>
      </w:tr>
    </w:tbl>
    <w:p/>
    <w:p>
      <w:r>
        <w:t>備註：本表所列付款期日自各該條件成就之翌日起算。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JhengHei" w:hAnsi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